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3" w:rsidRDefault="00D96483" w:rsidP="00D96483">
      <w:pPr>
        <w:pStyle w:val="a3"/>
        <w:jc w:val="both"/>
      </w:pPr>
      <w:r>
        <w:t>Актуальными вопросами потребителей остаются вопросы защиты прав потребителя в отношениях по предоставлению и оплате  услуг в жилищно-коммунальной сфере.</w:t>
      </w:r>
    </w:p>
    <w:p w:rsidR="00D96483" w:rsidRDefault="00D96483" w:rsidP="00D96483">
      <w:pPr>
        <w:pStyle w:val="a3"/>
        <w:jc w:val="both"/>
      </w:pPr>
      <w:r>
        <w:t>На ряд существенных вопросов дал ответы Пленум Верховного Суда РФ в Постановлении  от 27.06.2017 N 22 “О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собственности” (далее – Постановление).</w:t>
      </w:r>
    </w:p>
    <w:p w:rsidR="00D96483" w:rsidRDefault="00D96483" w:rsidP="00D96483">
      <w:pPr>
        <w:pStyle w:val="a3"/>
        <w:jc w:val="both"/>
      </w:pPr>
      <w:r>
        <w:rPr>
          <w:rStyle w:val="a4"/>
        </w:rPr>
        <w:t>Консультационный центр для потребителей информирует</w:t>
      </w:r>
      <w:r>
        <w:t xml:space="preserve"> о позиции вышеуказанного Пленума по наиболее часто возникающим конфликтным ситуациям в спорах при оплате коммунальных услуг и жилого помещения.</w:t>
      </w:r>
    </w:p>
    <w:p w:rsidR="00D96483" w:rsidRDefault="00D96483" w:rsidP="00D96483">
      <w:pPr>
        <w:pStyle w:val="a3"/>
        <w:jc w:val="both"/>
      </w:pPr>
      <w:r>
        <w:t>Ниже приведены некоторые вопросы потребителей и ответы на них, резюмированные Пленумом.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Вопрос </w:t>
      </w:r>
      <w:r>
        <w:rPr>
          <w:rStyle w:val="a5"/>
        </w:rPr>
        <w:t xml:space="preserve">– Может ли суд при удовлетворении требования о взыскании с потребителя-должника  уменьшить пени, рассчитанные в соответствии с  </w:t>
      </w:r>
      <w:hyperlink r:id="rId5" w:history="1">
        <w:r>
          <w:rPr>
            <w:rStyle w:val="a5"/>
            <w:color w:val="0000FF"/>
            <w:u w:val="single"/>
          </w:rPr>
          <w:t>частью 14 статьи 155</w:t>
        </w:r>
      </w:hyperlink>
      <w:r>
        <w:rPr>
          <w:rStyle w:val="a5"/>
        </w:rPr>
        <w:t xml:space="preserve"> ЖК РФ?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Ответ –  </w:t>
      </w:r>
      <w:r>
        <w:t xml:space="preserve">Пеня, установленная </w:t>
      </w:r>
      <w:hyperlink r:id="rId6" w:history="1">
        <w:r>
          <w:rPr>
            <w:rStyle w:val="a6"/>
          </w:rPr>
          <w:t>частью 14 статьи 155</w:t>
        </w:r>
      </w:hyperlink>
      <w:r>
        <w:t xml:space="preserve"> ЖК РФ, в </w:t>
      </w:r>
      <w:r>
        <w:rPr>
          <w:rStyle w:val="a4"/>
        </w:rPr>
        <w:t xml:space="preserve">случае ее явной несоразмерности </w:t>
      </w:r>
      <w:r>
        <w:t>последствиям нарушения обязательства, может быть уменьшена по инициативе суда, разрешающего спор (</w:t>
      </w:r>
      <w:hyperlink r:id="rId7" w:history="1">
        <w:r>
          <w:rPr>
            <w:rStyle w:val="a4"/>
            <w:color w:val="0000FF"/>
            <w:u w:val="single"/>
          </w:rPr>
          <w:t>пункт 1 статьи 333</w:t>
        </w:r>
      </w:hyperlink>
      <w:r>
        <w:rPr>
          <w:rStyle w:val="a4"/>
        </w:rPr>
        <w:t xml:space="preserve"> ГК РФ</w:t>
      </w:r>
      <w:r>
        <w:t>).</w:t>
      </w:r>
    </w:p>
    <w:p w:rsidR="00D96483" w:rsidRDefault="00D96483" w:rsidP="00D96483">
      <w:pPr>
        <w:pStyle w:val="a3"/>
        <w:jc w:val="both"/>
      </w:pPr>
      <w:r>
        <w:t>В этом случае суд при рассмотрении дела выносит на обсуждение обстоятельства, свидетельствующие о такой несоразмерности пени последствиям нарушения обязательства (</w:t>
      </w:r>
      <w:hyperlink r:id="rId8" w:history="1">
        <w:r>
          <w:rPr>
            <w:rStyle w:val="a6"/>
          </w:rPr>
          <w:t>статья 56</w:t>
        </w:r>
      </w:hyperlink>
      <w:r>
        <w:t xml:space="preserve"> ГПК РФ).</w:t>
      </w:r>
    </w:p>
    <w:p w:rsidR="00D96483" w:rsidRDefault="00D96483" w:rsidP="00D96483">
      <w:pPr>
        <w:pStyle w:val="a3"/>
        <w:jc w:val="both"/>
      </w:pPr>
      <w:r>
        <w:t xml:space="preserve">Согласно </w:t>
      </w:r>
      <w:r>
        <w:rPr>
          <w:rStyle w:val="a4"/>
        </w:rPr>
        <w:t>ст.56 ГПК РФ</w:t>
      </w:r>
      <w:r>
        <w:t>, каждая сторона  </w:t>
      </w:r>
      <w:r>
        <w:rPr>
          <w:rStyle w:val="a4"/>
        </w:rPr>
        <w:t>должна доказать те обстоятельства</w:t>
      </w:r>
      <w:r>
        <w:t>, на которые она ссылается как на основания своих требований и возражений, если иное не предусмотрено федеральным законом.</w:t>
      </w:r>
    </w:p>
    <w:p w:rsidR="00D96483" w:rsidRDefault="00D96483" w:rsidP="00D96483">
      <w:pPr>
        <w:pStyle w:val="a3"/>
        <w:jc w:val="both"/>
      </w:pPr>
      <w:r>
        <w:t>Таким образом, потребитель должен привести доказательства несоразмерности заявленных к взысканию требований организации, предоставляющей жилищно-коммунальные услуги.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Вопрос – </w:t>
      </w:r>
      <w:r>
        <w:rPr>
          <w:rStyle w:val="a5"/>
        </w:rPr>
        <w:t xml:space="preserve">Возможно ли ограничение или приостановление предоставления коммунальной услуги без предупреждения? Возможна ли такая мера к потребителю при незначительной задолженности? 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Ответ – </w:t>
      </w:r>
      <w:r>
        <w:t xml:space="preserve">Предоставление коммунальной услуги может быть приостановлено или ограничено </w:t>
      </w:r>
      <w:r>
        <w:rPr>
          <w:rStyle w:val="a4"/>
        </w:rPr>
        <w:t>только после письменного предупреждения (уведомления)</w:t>
      </w:r>
      <w:r>
        <w:t xml:space="preserve"> потребителя-должника, в сроки и в порядке, которые установлены Правительством Российской Федерации. Действия исполнителя коммунальной услуги по приостановлению или ограничению предоставления коммунальной услуги </w:t>
      </w:r>
      <w:r>
        <w:rPr>
          <w:rStyle w:val="a4"/>
        </w:rPr>
        <w:t xml:space="preserve">должны быть соразмерны </w:t>
      </w:r>
      <w:r>
        <w:t xml:space="preserve">допущенному нанимателем (собственником) нарушению, не выходить за пределы действий, необходимых для его пресечения, </w:t>
      </w:r>
      <w:r>
        <w:rPr>
          <w:rStyle w:val="a4"/>
        </w:rPr>
        <w:t>не нарушать прав и законных интересов других лиц</w:t>
      </w:r>
      <w:r>
        <w:t xml:space="preserve"> и не создавать угрозу жизни и здоровью окружающих.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>Вопрос</w:t>
      </w:r>
      <w:r>
        <w:t xml:space="preserve"> – </w:t>
      </w:r>
      <w:r>
        <w:rPr>
          <w:rStyle w:val="a5"/>
        </w:rPr>
        <w:t>При имеющейся задолженности за разные периода при внесении денежных средств для оплаты жилищно-коммунальных</w:t>
      </w:r>
      <w:r>
        <w:t xml:space="preserve"> </w:t>
      </w:r>
      <w:proofErr w:type="gramStart"/>
      <w:r>
        <w:rPr>
          <w:rStyle w:val="a5"/>
        </w:rPr>
        <w:t>услуг</w:t>
      </w:r>
      <w:proofErr w:type="gramEnd"/>
      <w:r>
        <w:rPr>
          <w:rStyle w:val="a5"/>
        </w:rPr>
        <w:t xml:space="preserve"> за какой период должна быть зачислена поступающая оплата?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lastRenderedPageBreak/>
        <w:t xml:space="preserve">Ответ – </w:t>
      </w:r>
      <w:r>
        <w:t xml:space="preserve">Денежные средства, внесенные на основании платежного документа, </w:t>
      </w:r>
      <w:r>
        <w:rPr>
          <w:rStyle w:val="a4"/>
        </w:rPr>
        <w:t>содержащего указание на расчетный период</w:t>
      </w:r>
      <w:r>
        <w:t xml:space="preserve">, засчитываются в счет оплаты жилого помещения и коммунальных услуг </w:t>
      </w:r>
      <w:r>
        <w:rPr>
          <w:rStyle w:val="a4"/>
        </w:rPr>
        <w:t>за период, указанный в этом платежном документе.</w:t>
      </w:r>
    </w:p>
    <w:p w:rsidR="00D96483" w:rsidRDefault="00D96483" w:rsidP="00D96483">
      <w:pPr>
        <w:pStyle w:val="a3"/>
        <w:jc w:val="both"/>
      </w:pPr>
      <w:r>
        <w:t xml:space="preserve">Если платежный документ </w:t>
      </w:r>
      <w:r>
        <w:rPr>
          <w:rStyle w:val="a4"/>
        </w:rPr>
        <w:t>не содержит данных о расчетном периоде</w:t>
      </w:r>
      <w:r>
        <w:t xml:space="preserve">, денежные средства, внесенные на основании данного платежного документа, засчитываются в счет оплаты жилого помещения и коммунальных услуг </w:t>
      </w:r>
      <w:r>
        <w:rPr>
          <w:rStyle w:val="a4"/>
        </w:rPr>
        <w:t>за период, указанный гражданином</w:t>
      </w:r>
      <w:r>
        <w:t xml:space="preserve"> (</w:t>
      </w:r>
      <w:hyperlink r:id="rId9" w:history="1">
        <w:r>
          <w:rPr>
            <w:rStyle w:val="a6"/>
          </w:rPr>
          <w:t>статья 319.1</w:t>
        </w:r>
      </w:hyperlink>
      <w:r>
        <w:t xml:space="preserve"> ГК РФ).</w:t>
      </w:r>
    </w:p>
    <w:p w:rsidR="00D96483" w:rsidRDefault="00D96483" w:rsidP="00D96483">
      <w:pPr>
        <w:pStyle w:val="a3"/>
        <w:jc w:val="both"/>
      </w:pPr>
      <w:r>
        <w:t xml:space="preserve">В случае, когда наниматель (собственник) не указал, в счет какого расчетного </w:t>
      </w:r>
      <w:r>
        <w:rPr>
          <w:rStyle w:val="a4"/>
        </w:rPr>
        <w:t xml:space="preserve">периода </w:t>
      </w:r>
      <w:r>
        <w:t xml:space="preserve">им осуществлено исполнение, исполненное засчитывается за периоды, по которым </w:t>
      </w:r>
      <w:r>
        <w:rPr>
          <w:rStyle w:val="a4"/>
        </w:rPr>
        <w:t>срок исковой давности не истек</w:t>
      </w:r>
      <w:r>
        <w:t xml:space="preserve"> (</w:t>
      </w:r>
      <w:hyperlink r:id="rId10" w:history="1">
        <w:r>
          <w:rPr>
            <w:rStyle w:val="a6"/>
          </w:rPr>
          <w:t>часть 1 статьи 7</w:t>
        </w:r>
      </w:hyperlink>
      <w:r>
        <w:t xml:space="preserve"> ЖК РФ и </w:t>
      </w:r>
      <w:hyperlink r:id="rId11" w:history="1">
        <w:r>
          <w:rPr>
            <w:rStyle w:val="a6"/>
          </w:rPr>
          <w:t>пункт 3 статьи 199</w:t>
        </w:r>
      </w:hyperlink>
      <w:r>
        <w:t xml:space="preserve">, </w:t>
      </w:r>
      <w:hyperlink r:id="rId12" w:history="1">
        <w:r>
          <w:rPr>
            <w:rStyle w:val="a6"/>
          </w:rPr>
          <w:t>пункт 3 статьи 319.1</w:t>
        </w:r>
      </w:hyperlink>
      <w:r>
        <w:t xml:space="preserve"> ГК РФ).</w:t>
      </w:r>
    </w:p>
    <w:p w:rsidR="00D96483" w:rsidRDefault="00D96483" w:rsidP="00D96483">
      <w:pPr>
        <w:pStyle w:val="a3"/>
        <w:jc w:val="both"/>
      </w:pPr>
      <w:proofErr w:type="gramStart"/>
      <w:r>
        <w:rPr>
          <w:rStyle w:val="a5"/>
          <w:b/>
          <w:bCs/>
        </w:rPr>
        <w:t>Вопрос</w:t>
      </w:r>
      <w:proofErr w:type="gramEnd"/>
      <w:r>
        <w:rPr>
          <w:rStyle w:val="a5"/>
          <w:b/>
          <w:bCs/>
        </w:rPr>
        <w:t xml:space="preserve"> – </w:t>
      </w:r>
      <w:r>
        <w:rPr>
          <w:rStyle w:val="a5"/>
        </w:rPr>
        <w:t>Каков срок исковой давности по спорам в жилищно-коммунальной сфере?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Ответ – </w:t>
      </w:r>
      <w:r>
        <w:t xml:space="preserve">К спорам, связанным с оплатой гражданами жилого помещения и коммунальных услуг, применяется </w:t>
      </w:r>
      <w:r>
        <w:rPr>
          <w:rStyle w:val="a4"/>
        </w:rPr>
        <w:t>общий трехлетний срок исковой давности</w:t>
      </w:r>
      <w:r>
        <w:t>, исчисляемый со дня, когда лицо узнало или должно было узнать о нарушении своего права и о том, кто является надлежащим ответчиком по иску о защите этого права (</w:t>
      </w:r>
      <w:hyperlink r:id="rId13" w:history="1">
        <w:r>
          <w:rPr>
            <w:rStyle w:val="a6"/>
          </w:rPr>
          <w:t>статьи 196</w:t>
        </w:r>
      </w:hyperlink>
      <w:r>
        <w:t xml:space="preserve">, </w:t>
      </w:r>
      <w:hyperlink r:id="rId14" w:history="1">
        <w:r>
          <w:rPr>
            <w:rStyle w:val="a6"/>
          </w:rPr>
          <w:t>200</w:t>
        </w:r>
      </w:hyperlink>
      <w:r>
        <w:t xml:space="preserve"> ГК РФ</w:t>
      </w:r>
      <w:r>
        <w:rPr>
          <w:rStyle w:val="a4"/>
        </w:rPr>
        <w:t>). Срок исковой давности</w:t>
      </w:r>
      <w:r>
        <w:t xml:space="preserve"> по требованиям о взыскании задолженности по оплате жилого помещения и коммунальных услуг исчисляется </w:t>
      </w:r>
      <w:r>
        <w:rPr>
          <w:rStyle w:val="a4"/>
        </w:rPr>
        <w:t>отдельно по каждому ежемесячному платежу</w:t>
      </w:r>
      <w:r>
        <w:t xml:space="preserve"> (</w:t>
      </w:r>
      <w:hyperlink r:id="rId15" w:history="1">
        <w:r>
          <w:rPr>
            <w:rStyle w:val="a6"/>
          </w:rPr>
          <w:t>часть 1 статьи 155</w:t>
        </w:r>
      </w:hyperlink>
      <w:r>
        <w:t xml:space="preserve"> ЖК РФ и </w:t>
      </w:r>
      <w:hyperlink r:id="rId16" w:history="1">
        <w:r>
          <w:rPr>
            <w:rStyle w:val="a6"/>
          </w:rPr>
          <w:t>пункт 2 статьи 200</w:t>
        </w:r>
      </w:hyperlink>
      <w:r>
        <w:t xml:space="preserve"> ГК РФ).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Вопрос </w:t>
      </w:r>
      <w:r>
        <w:rPr>
          <w:rStyle w:val="a5"/>
        </w:rPr>
        <w:t>– Если собственником является  несовершеннолетний ребенок, на кого возложена законом оплата за жилищно – коммунальные услуги?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>Ответ –</w:t>
      </w:r>
      <w:r>
        <w:t xml:space="preserve"> В случае, если собственником жилого помещения (доли) является несовершеннолетний, то обязанность по оплате жилого помещения и коммунальных услуг </w:t>
      </w:r>
      <w:r>
        <w:rPr>
          <w:rStyle w:val="a4"/>
        </w:rPr>
        <w:t>несут его родители независимо от факта совместного с</w:t>
      </w:r>
      <w:r>
        <w:t xml:space="preserve"> </w:t>
      </w:r>
      <w:r>
        <w:rPr>
          <w:rStyle w:val="a4"/>
        </w:rPr>
        <w:t>ним проживания</w:t>
      </w:r>
      <w:r>
        <w:t xml:space="preserve"> (</w:t>
      </w:r>
      <w:hyperlink r:id="rId17" w:history="1">
        <w:r>
          <w:rPr>
            <w:rStyle w:val="a6"/>
          </w:rPr>
          <w:t>статьи 21</w:t>
        </w:r>
      </w:hyperlink>
      <w:r>
        <w:t xml:space="preserve">, </w:t>
      </w:r>
      <w:hyperlink r:id="rId18" w:history="1">
        <w:r>
          <w:rPr>
            <w:rStyle w:val="a6"/>
          </w:rPr>
          <w:t>26</w:t>
        </w:r>
      </w:hyperlink>
      <w:r>
        <w:t xml:space="preserve">, </w:t>
      </w:r>
      <w:hyperlink r:id="rId19" w:history="1">
        <w:r>
          <w:rPr>
            <w:rStyle w:val="a6"/>
          </w:rPr>
          <w:t>28</w:t>
        </w:r>
      </w:hyperlink>
      <w:r>
        <w:t xml:space="preserve"> ГК РФ и </w:t>
      </w:r>
      <w:hyperlink r:id="rId20" w:history="1">
        <w:r>
          <w:rPr>
            <w:rStyle w:val="a6"/>
          </w:rPr>
          <w:t>статьи 56</w:t>
        </w:r>
      </w:hyperlink>
      <w:r>
        <w:t xml:space="preserve">, </w:t>
      </w:r>
      <w:hyperlink r:id="rId21" w:history="1">
        <w:r>
          <w:rPr>
            <w:rStyle w:val="a6"/>
          </w:rPr>
          <w:t>60</w:t>
        </w:r>
      </w:hyperlink>
      <w:r>
        <w:t xml:space="preserve">, </w:t>
      </w:r>
      <w:hyperlink r:id="rId22" w:history="1">
        <w:r>
          <w:rPr>
            <w:rStyle w:val="a6"/>
          </w:rPr>
          <w:t>64</w:t>
        </w:r>
      </w:hyperlink>
      <w:r>
        <w:t xml:space="preserve"> Семейного кодекса Российской Федерации).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Вопрос –  </w:t>
      </w:r>
      <w:r>
        <w:rPr>
          <w:rStyle w:val="a5"/>
        </w:rPr>
        <w:t>Лица, прописанные, но  не проживающие в жилом помещении обязаны ли вносить плату за содержание жилого помещения (за содержание общего имущество собственников многоквартирного дома) и за коммунальные услуги?</w:t>
      </w:r>
    </w:p>
    <w:p w:rsidR="00D96483" w:rsidRDefault="00D96483" w:rsidP="00D96483">
      <w:pPr>
        <w:pStyle w:val="a3"/>
        <w:jc w:val="both"/>
      </w:pPr>
      <w:r>
        <w:rPr>
          <w:rStyle w:val="a5"/>
          <w:b/>
          <w:bCs/>
        </w:rPr>
        <w:t xml:space="preserve">Ответ – </w:t>
      </w:r>
      <w:r>
        <w:rPr>
          <w:rStyle w:val="a4"/>
        </w:rPr>
        <w:t>Собственник</w:t>
      </w:r>
      <w:r>
        <w:t xml:space="preserve">, а также дееспособные и ограниченные судом в дееспособности члены его семьи, в том числе бывший член семьи, </w:t>
      </w:r>
      <w:r>
        <w:rPr>
          <w:rStyle w:val="a4"/>
        </w:rPr>
        <w:t>сохраняющий право пользования жилым помещением</w:t>
      </w:r>
      <w:r>
        <w:t xml:space="preserve">, исполняют </w:t>
      </w:r>
      <w:r>
        <w:rPr>
          <w:rStyle w:val="a4"/>
        </w:rPr>
        <w:t>солидарную обязанность</w:t>
      </w:r>
      <w:r>
        <w:t xml:space="preserve"> по внесению платы за коммунальные услуги, если иное не предусмотрено соглашением (</w:t>
      </w:r>
      <w:hyperlink r:id="rId23" w:history="1">
        <w:r>
          <w:rPr>
            <w:rStyle w:val="a6"/>
          </w:rPr>
          <w:t>часть 3 статьи 31</w:t>
        </w:r>
      </w:hyperlink>
      <w:r>
        <w:t xml:space="preserve"> и </w:t>
      </w:r>
      <w:hyperlink r:id="rId24" w:history="1">
        <w:r>
          <w:rPr>
            <w:rStyle w:val="a6"/>
          </w:rPr>
          <w:t>статья 153</w:t>
        </w:r>
      </w:hyperlink>
      <w:r>
        <w:t xml:space="preserve"> ЖК РФ).</w:t>
      </w:r>
    </w:p>
    <w:p w:rsidR="00D96483" w:rsidRDefault="00D96483" w:rsidP="00D96483">
      <w:pPr>
        <w:pStyle w:val="a3"/>
        <w:jc w:val="both"/>
      </w:pPr>
      <w:r>
        <w:t xml:space="preserve">При наличии соглашения </w:t>
      </w:r>
      <w:r>
        <w:rPr>
          <w:rStyle w:val="a4"/>
        </w:rPr>
        <w:t>по оплате</w:t>
      </w:r>
      <w:r>
        <w:t xml:space="preserve"> </w:t>
      </w:r>
      <w:r>
        <w:rPr>
          <w:rStyle w:val="a4"/>
        </w:rPr>
        <w:t>коммунальных</w:t>
      </w:r>
      <w:r>
        <w:t xml:space="preserve"> </w:t>
      </w:r>
      <w:r>
        <w:rPr>
          <w:rStyle w:val="a4"/>
        </w:rPr>
        <w:t>услуг</w:t>
      </w:r>
      <w:r>
        <w:t xml:space="preserve"> между собственником и членами его семью суд определяет задолженность каждого участника такого соглашения </w:t>
      </w:r>
      <w:r>
        <w:rPr>
          <w:rStyle w:val="a4"/>
        </w:rPr>
        <w:t>с учетом условий такового соглашения.</w:t>
      </w:r>
    </w:p>
    <w:p w:rsidR="00D96483" w:rsidRDefault="00D96483" w:rsidP="00D96483">
      <w:pPr>
        <w:pStyle w:val="a3"/>
        <w:jc w:val="both"/>
      </w:pPr>
      <w:r>
        <w:rPr>
          <w:rStyle w:val="a4"/>
        </w:rPr>
        <w:t>Обязанность по внесению платы за содержание жилого помещения</w:t>
      </w:r>
      <w:r>
        <w:t xml:space="preserve"> и </w:t>
      </w:r>
      <w:r>
        <w:rPr>
          <w:rStyle w:val="a4"/>
        </w:rPr>
        <w:t>взносов на капитальный ремонт</w:t>
      </w:r>
      <w:r>
        <w:t xml:space="preserve"> несет </w:t>
      </w:r>
      <w:r>
        <w:rPr>
          <w:rStyle w:val="a4"/>
        </w:rPr>
        <w:t>только собственник</w:t>
      </w:r>
      <w:r>
        <w:t xml:space="preserve"> жилого помещения (</w:t>
      </w:r>
      <w:hyperlink r:id="rId25" w:history="1">
        <w:r>
          <w:rPr>
            <w:rStyle w:val="a6"/>
          </w:rPr>
          <w:t>статьи 30</w:t>
        </w:r>
      </w:hyperlink>
      <w:r>
        <w:t xml:space="preserve">, </w:t>
      </w:r>
      <w:hyperlink r:id="rId26" w:history="1">
        <w:r>
          <w:rPr>
            <w:rStyle w:val="a6"/>
          </w:rPr>
          <w:t>158</w:t>
        </w:r>
      </w:hyperlink>
      <w:r>
        <w:t xml:space="preserve"> ЖК РФ и </w:t>
      </w:r>
      <w:hyperlink r:id="rId27" w:history="1">
        <w:r>
          <w:rPr>
            <w:rStyle w:val="a6"/>
          </w:rPr>
          <w:t>статья 210</w:t>
        </w:r>
      </w:hyperlink>
      <w:r>
        <w:t xml:space="preserve"> ГК РФ).</w:t>
      </w:r>
    </w:p>
    <w:p w:rsidR="00D96483" w:rsidRDefault="00D96483" w:rsidP="00D96483">
      <w:pPr>
        <w:pStyle w:val="a3"/>
        <w:jc w:val="both"/>
      </w:pPr>
      <w:r>
        <w:rPr>
          <w:rStyle w:val="a4"/>
        </w:rPr>
        <w:t xml:space="preserve">Ознакомиться с полным текстом Постановления, а также   получить ответы на иные интересующие  вопросы защиты прав потребителя  можно в Консультационном </w:t>
      </w:r>
      <w:r>
        <w:rPr>
          <w:rStyle w:val="a4"/>
        </w:rPr>
        <w:lastRenderedPageBreak/>
        <w:t xml:space="preserve">центре для потребителей, расположенном по адресу: г. Пермь, ул. Куйбышева, 50а, </w:t>
      </w:r>
      <w:proofErr w:type="spellStart"/>
      <w:r>
        <w:rPr>
          <w:rStyle w:val="a4"/>
        </w:rPr>
        <w:t>каб</w:t>
      </w:r>
      <w:proofErr w:type="spellEnd"/>
      <w:r>
        <w:rPr>
          <w:rStyle w:val="a4"/>
        </w:rPr>
        <w:t>. 110, 112. Телефон 236-48-77, 239-33-94</w:t>
      </w:r>
      <w:r>
        <w:t>.</w:t>
      </w:r>
    </w:p>
    <w:p w:rsidR="007D2B33" w:rsidRDefault="007D2B33">
      <w:bookmarkStart w:id="0" w:name="_GoBack"/>
      <w:bookmarkEnd w:id="0"/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3"/>
    <w:rsid w:val="007D2B33"/>
    <w:rsid w:val="00D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483"/>
    <w:rPr>
      <w:b/>
      <w:bCs/>
    </w:rPr>
  </w:style>
  <w:style w:type="character" w:styleId="a5">
    <w:name w:val="Emphasis"/>
    <w:basedOn w:val="a0"/>
    <w:uiPriority w:val="20"/>
    <w:qFormat/>
    <w:rsid w:val="00D96483"/>
    <w:rPr>
      <w:i/>
      <w:iCs/>
    </w:rPr>
  </w:style>
  <w:style w:type="character" w:styleId="a6">
    <w:name w:val="Hyperlink"/>
    <w:basedOn w:val="a0"/>
    <w:uiPriority w:val="99"/>
    <w:semiHidden/>
    <w:unhideWhenUsed/>
    <w:rsid w:val="00D96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483"/>
    <w:rPr>
      <w:b/>
      <w:bCs/>
    </w:rPr>
  </w:style>
  <w:style w:type="character" w:styleId="a5">
    <w:name w:val="Emphasis"/>
    <w:basedOn w:val="a0"/>
    <w:uiPriority w:val="20"/>
    <w:qFormat/>
    <w:rsid w:val="00D96483"/>
    <w:rPr>
      <w:i/>
      <w:iCs/>
    </w:rPr>
  </w:style>
  <w:style w:type="character" w:styleId="a6">
    <w:name w:val="Hyperlink"/>
    <w:basedOn w:val="a0"/>
    <w:uiPriority w:val="99"/>
    <w:semiHidden/>
    <w:unhideWhenUsed/>
    <w:rsid w:val="00D96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4BF3CE92D17689E14023EF92F24D2DBAFFF66DB98148DA1C586DA1F612EBFE57EEEB9D16B56C65b3H" TargetMode="External"/><Relationship Id="rId13" Type="http://schemas.openxmlformats.org/officeDocument/2006/relationships/hyperlink" Target="consultantplus://offline/ref=BAD3362BC80099C4150FE0578411654E29A93E937A530638F7DCD7AD00C5FF8D690C09E3ABsD4FH" TargetMode="External"/><Relationship Id="rId18" Type="http://schemas.openxmlformats.org/officeDocument/2006/relationships/hyperlink" Target="consultantplus://offline/ref=DF1A0FD5FAE7902E0AEFCD4EE274F204045798C77EA83861E43A7190FB22804AF7759FA03FC7B9B7MCEDI" TargetMode="External"/><Relationship Id="rId26" Type="http://schemas.openxmlformats.org/officeDocument/2006/relationships/hyperlink" Target="consultantplus://offline/ref=B02C046623BD86B6299BA6E70E4C65EA2AE178D17D47962B02E7624ADC573654862EE9E525D42DF3E4g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1A0FD5FAE7902E0AEFCD4EE274F204045799C179AE3861E43A7190FB22804AF7759FA03FC7BAB4MCE9I" TargetMode="External"/><Relationship Id="rId7" Type="http://schemas.openxmlformats.org/officeDocument/2006/relationships/hyperlink" Target="consultantplus://offline/ref=0B0A4BF3CE92D17689E14023EF92F24D2DBBFCFE6FB88148DA1C586DA1F612EBFE57EEEB9D13B066bEH" TargetMode="External"/><Relationship Id="rId12" Type="http://schemas.openxmlformats.org/officeDocument/2006/relationships/hyperlink" Target="consultantplus://offline/ref=0B2B4EACAECE63E8DF72FAA51910A577A6EA1D1A7F39F03470ED190043194BD39311DBF3A8E1CEA1y8H" TargetMode="External"/><Relationship Id="rId17" Type="http://schemas.openxmlformats.org/officeDocument/2006/relationships/hyperlink" Target="consultantplus://offline/ref=DF1A0FD5FAE7902E0AEFCD4EE274F204045798C77EA83861E43A7190FB22804AF7759FA03FC7B9B2MCECI" TargetMode="External"/><Relationship Id="rId25" Type="http://schemas.openxmlformats.org/officeDocument/2006/relationships/hyperlink" Target="consultantplus://offline/ref=B02C046623BD86B6299BA6E70E4C65EA2AE178D17D47962B02E7624ADC573654862EE9E525D426F4E4g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D3362BC80099C4150FE0578411654E29A93E937A530638F7DCD7AD00C5FF8D690C09E3AAsD40H" TargetMode="External"/><Relationship Id="rId20" Type="http://schemas.openxmlformats.org/officeDocument/2006/relationships/hyperlink" Target="consultantplus://offline/ref=DF1A0FD5FAE7902E0AEFCD4EE274F204045799C179AE3861E43A7190FB22804AF7759FA03FC7BAB6MCE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A4BF3CE92D17689E14023EF92F24D2DBAFFF66BB98148DA1C586DA1F612EBFE57EEEC9C61b2H" TargetMode="External"/><Relationship Id="rId11" Type="http://schemas.openxmlformats.org/officeDocument/2006/relationships/hyperlink" Target="consultantplus://offline/ref=0B2B4EACAECE63E8DF72FAA51910A577A6EA1D1A7F39F03470ED190043194BD39311DBF7A9AEy7H" TargetMode="External"/><Relationship Id="rId24" Type="http://schemas.openxmlformats.org/officeDocument/2006/relationships/hyperlink" Target="consultantplus://offline/ref=A96B1ACD4F73F0C958965224060F9F29A11FD1585C1D13FF886A2DDC497CCAB8D088F5AEDC5F66FEi1eCI" TargetMode="External"/><Relationship Id="rId5" Type="http://schemas.openxmlformats.org/officeDocument/2006/relationships/hyperlink" Target="consultantplus://offline/ref=B1FA2247FAFB9BB63641C362C25EF70AF7E7D0D737DC09A01DA0F347592F7F9296567206C0n6s2G" TargetMode="External"/><Relationship Id="rId15" Type="http://schemas.openxmlformats.org/officeDocument/2006/relationships/hyperlink" Target="consultantplus://offline/ref=BAD3362BC80099C4150FE0578411654E29A83D9B7E520638F7DCD7AD00C5FF8D690C09E7ABD7DCBFs443H" TargetMode="External"/><Relationship Id="rId23" Type="http://schemas.openxmlformats.org/officeDocument/2006/relationships/hyperlink" Target="consultantplus://offline/ref=A96B1ACD4F73F0C958965224060F9F29A11FD1585C1D13FF886A2DDC497CCAB8D088F5ACiDe8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2B4EACAECE63E8DF72FAA51910A577A6EB1E127B38F03470ED190043194BD39311DBF3A8E4CB1CADyEH" TargetMode="External"/><Relationship Id="rId19" Type="http://schemas.openxmlformats.org/officeDocument/2006/relationships/hyperlink" Target="consultantplus://offline/ref=DF1A0FD5FAE7902E0AEFCD4EE274F204045798C77EA83861E43A7190FB22804AF7759FA03FC7B9B5MC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B4EACAECE63E8DF72FAA51910A577A6EA1D1A7F39F03470ED190043194BD39311DBF3A8E1CFA1y1H" TargetMode="External"/><Relationship Id="rId14" Type="http://schemas.openxmlformats.org/officeDocument/2006/relationships/hyperlink" Target="consultantplus://offline/ref=BAD3362BC80099C4150FE0578411654E29A93E937A530638F7DCD7AD00C5FF8D690C09E3AAsD42H" TargetMode="External"/><Relationship Id="rId22" Type="http://schemas.openxmlformats.org/officeDocument/2006/relationships/hyperlink" Target="consultantplus://offline/ref=DF1A0FD5FAE7902E0AEFCD4EE274F204045799C179AE3861E43A7190FB22804AF7759FA03FC7BABAMCEEI" TargetMode="External"/><Relationship Id="rId27" Type="http://schemas.openxmlformats.org/officeDocument/2006/relationships/hyperlink" Target="consultantplus://offline/ref=B02C046623BD86B6299BA6E70E4C65EA2AE07BD97946962B02E7624ADC573654862EE9E525D525F4E4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7342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2018-10-19T03:23:00Z</dcterms:created>
  <dcterms:modified xsi:type="dcterms:W3CDTF">2018-10-19T03:23:00Z</dcterms:modified>
</cp:coreProperties>
</file>